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BDA376" w14:textId="77777777" w:rsidR="00C765B3" w:rsidRDefault="000575A1">
      <w:pPr>
        <w:jc w:val="center"/>
      </w:pPr>
      <w:r>
        <w:rPr>
          <w:b/>
          <w:sz w:val="28"/>
        </w:rPr>
        <w:t>МЕТОДИКА</w:t>
      </w:r>
    </w:p>
    <w:p w14:paraId="7F34BF2E" w14:textId="77777777" w:rsidR="00C765B3" w:rsidRDefault="000575A1">
      <w:pPr>
        <w:spacing w:after="120"/>
        <w:jc w:val="center"/>
      </w:pPr>
      <w:r>
        <w:rPr>
          <w:b/>
          <w:sz w:val="26"/>
        </w:rPr>
        <w:t>ЗА ОПРЕДЕЛЯНЕ НА КОМПЛЕКСНАТА ОЦЕНКА НА ОФЕРТИТЕ</w:t>
      </w:r>
    </w:p>
    <w:p w14:paraId="34E5CDD4" w14:textId="20F393EC" w:rsidR="00C765B3" w:rsidRDefault="000575A1" w:rsidP="00803928">
      <w:pPr>
        <w:spacing w:after="40"/>
        <w:jc w:val="center"/>
      </w:pPr>
      <w:r>
        <w:rPr>
          <w:sz w:val="22"/>
        </w:rPr>
        <w:t>по процедура за избор на изпълнител с публична покана, провеждана по реда на чл. 50 – 53 от ЗУСЕФСУ и ПМС № 4/11.01.2024 г. от „НЕОХИМ“ АД, с предмет:</w:t>
      </w:r>
      <w:r w:rsidR="00803928">
        <w:t xml:space="preserve"> </w:t>
      </w:r>
      <w:r>
        <w:rPr>
          <w:b/>
          <w:sz w:val="22"/>
        </w:rPr>
        <w:t>„Извършване на дейности по организация и управление, видимост, прозрачност и комуникация по проект BG16FFPR003-4.006-0025 „Производствени инвестиции в „Неохим“ АД“</w:t>
      </w:r>
    </w:p>
    <w:p w14:paraId="6F161096" w14:textId="77777777" w:rsidR="00C765B3" w:rsidRDefault="000575A1">
      <w:pPr>
        <w:keepNext/>
        <w:spacing w:after="120"/>
        <w:jc w:val="both"/>
      </w:pPr>
      <w:r>
        <w:rPr>
          <w:b/>
          <w:sz w:val="22"/>
        </w:rPr>
        <w:t>Раздел I. Приложно поле и общ подход</w:t>
      </w:r>
    </w:p>
    <w:p w14:paraId="3C872AC7" w14:textId="77777777" w:rsidR="00C765B3" w:rsidRDefault="000575A1">
      <w:pPr>
        <w:spacing w:after="120"/>
        <w:jc w:val="both"/>
      </w:pPr>
      <w:r>
        <w:rPr>
          <w:b/>
          <w:sz w:val="22"/>
        </w:rPr>
        <w:t xml:space="preserve">1.1. </w:t>
      </w:r>
      <w:r>
        <w:rPr>
          <w:sz w:val="22"/>
        </w:rPr>
        <w:t>Методиката определя реда, по който оценителите, назначени от Възложителя, оценяват и класират офертите, допуснати до оценка след проверката за съответствие с изискванията на публичната покана и документацията към нея.</w:t>
      </w:r>
    </w:p>
    <w:p w14:paraId="2880D781" w14:textId="02E40719" w:rsidR="00C765B3" w:rsidRDefault="000575A1">
      <w:pPr>
        <w:spacing w:after="120"/>
        <w:jc w:val="both"/>
      </w:pPr>
      <w:r>
        <w:rPr>
          <w:b/>
          <w:sz w:val="22"/>
        </w:rPr>
        <w:t xml:space="preserve">1.2. </w:t>
      </w:r>
      <w:r>
        <w:rPr>
          <w:sz w:val="22"/>
        </w:rPr>
        <w:t xml:space="preserve">Критерият за възлагане е „оптимално съотношение качество </w:t>
      </w:r>
      <w:r w:rsidR="00803928">
        <w:rPr>
          <w:sz w:val="22"/>
        </w:rPr>
        <w:t>-</w:t>
      </w:r>
      <w:r>
        <w:rPr>
          <w:sz w:val="22"/>
        </w:rPr>
        <w:t xml:space="preserve"> цена“. Той се прилага чрез два показателя: </w:t>
      </w:r>
      <w:r>
        <w:rPr>
          <w:b/>
          <w:sz w:val="22"/>
        </w:rPr>
        <w:t>П1 „Предложена цена“</w:t>
      </w:r>
      <w:r>
        <w:rPr>
          <w:sz w:val="22"/>
        </w:rPr>
        <w:t xml:space="preserve"> и </w:t>
      </w:r>
      <w:r>
        <w:rPr>
          <w:b/>
          <w:sz w:val="22"/>
        </w:rPr>
        <w:t>П2 „Организация и непрекъснатост на изпълнението“</w:t>
      </w:r>
      <w:r>
        <w:rPr>
          <w:sz w:val="22"/>
        </w:rPr>
        <w:t>.</w:t>
      </w:r>
    </w:p>
    <w:p w14:paraId="71D84714" w14:textId="77777777" w:rsidR="00C765B3" w:rsidRDefault="000575A1">
      <w:pPr>
        <w:spacing w:after="120"/>
        <w:jc w:val="both"/>
      </w:pPr>
      <w:r>
        <w:rPr>
          <w:b/>
          <w:sz w:val="22"/>
        </w:rPr>
        <w:t xml:space="preserve">1.3. </w:t>
      </w:r>
      <w:r>
        <w:rPr>
          <w:sz w:val="22"/>
        </w:rPr>
        <w:t>Всяка оферта получава точки по всеки от двата показателя (Т1 и Т2). Точките се привеждат към Комплексна оценка (КО) чрез относителните тегла на показателите. Комплексната оценка е число в интервала от 0 до 10, като 10 е максимално възможната стойност.</w:t>
      </w:r>
    </w:p>
    <w:p w14:paraId="112BB498" w14:textId="77777777" w:rsidR="00C765B3" w:rsidRDefault="000575A1">
      <w:pPr>
        <w:spacing w:after="200"/>
        <w:jc w:val="both"/>
      </w:pPr>
      <w:r>
        <w:rPr>
          <w:b/>
          <w:sz w:val="22"/>
        </w:rPr>
        <w:t xml:space="preserve">1.4. </w:t>
      </w:r>
      <w:r>
        <w:rPr>
          <w:sz w:val="22"/>
        </w:rPr>
        <w:t>Оценяването е двуетапно: първо се определят точките по всеки показател за всяка оферта, след което се изчислява комплексната оценка и се извършва класирането.</w:t>
      </w:r>
    </w:p>
    <w:p w14:paraId="54BBD51A" w14:textId="77777777" w:rsidR="00C765B3" w:rsidRDefault="000575A1">
      <w:pPr>
        <w:keepNext/>
        <w:spacing w:after="120"/>
        <w:jc w:val="both"/>
      </w:pPr>
      <w:r>
        <w:rPr>
          <w:b/>
          <w:sz w:val="22"/>
        </w:rPr>
        <w:t>Раздел II. Показатели, относителни тегла и формула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4309"/>
        <w:gridCol w:w="1361"/>
        <w:gridCol w:w="1134"/>
        <w:gridCol w:w="1020"/>
      </w:tblGrid>
      <w:tr w:rsidR="00C765B3" w14:paraId="17366ACA" w14:textId="77777777">
        <w:trPr>
          <w:jc w:val="center"/>
        </w:trPr>
        <w:tc>
          <w:tcPr>
            <w:tcW w:w="1814" w:type="dxa"/>
            <w:shd w:val="clear" w:color="auto" w:fill="F2F2F2"/>
          </w:tcPr>
          <w:p w14:paraId="44EB34E4" w14:textId="77777777" w:rsidR="00C765B3" w:rsidRDefault="000575A1">
            <w:pPr>
              <w:spacing w:after="40"/>
              <w:jc w:val="center"/>
            </w:pPr>
            <w:r>
              <w:rPr>
                <w:b/>
                <w:sz w:val="20"/>
              </w:rPr>
              <w:t>Показател</w:t>
            </w:r>
          </w:p>
        </w:tc>
        <w:tc>
          <w:tcPr>
            <w:tcW w:w="4309" w:type="dxa"/>
            <w:shd w:val="clear" w:color="auto" w:fill="F2F2F2"/>
          </w:tcPr>
          <w:p w14:paraId="0E58DEA1" w14:textId="77777777" w:rsidR="00C765B3" w:rsidRDefault="000575A1">
            <w:pPr>
              <w:spacing w:after="40"/>
              <w:jc w:val="center"/>
            </w:pPr>
            <w:r>
              <w:rPr>
                <w:b/>
                <w:sz w:val="20"/>
              </w:rPr>
              <w:t>Какво се оценява</w:t>
            </w:r>
          </w:p>
        </w:tc>
        <w:tc>
          <w:tcPr>
            <w:tcW w:w="1361" w:type="dxa"/>
            <w:shd w:val="clear" w:color="auto" w:fill="F2F2F2"/>
          </w:tcPr>
          <w:p w14:paraId="02618B20" w14:textId="77777777" w:rsidR="00C765B3" w:rsidRDefault="000575A1">
            <w:pPr>
              <w:spacing w:after="40"/>
              <w:jc w:val="center"/>
            </w:pPr>
            <w:r>
              <w:rPr>
                <w:b/>
                <w:sz w:val="20"/>
              </w:rPr>
              <w:t>Относително тегло</w:t>
            </w:r>
          </w:p>
        </w:tc>
        <w:tc>
          <w:tcPr>
            <w:tcW w:w="1134" w:type="dxa"/>
            <w:shd w:val="clear" w:color="auto" w:fill="F2F2F2"/>
          </w:tcPr>
          <w:p w14:paraId="73230CC9" w14:textId="77777777" w:rsidR="00C765B3" w:rsidRDefault="000575A1">
            <w:pPr>
              <w:spacing w:after="40"/>
              <w:jc w:val="center"/>
            </w:pPr>
            <w:r>
              <w:rPr>
                <w:b/>
                <w:sz w:val="20"/>
              </w:rPr>
              <w:t>Максимум точки</w:t>
            </w:r>
          </w:p>
        </w:tc>
        <w:tc>
          <w:tcPr>
            <w:tcW w:w="1020" w:type="dxa"/>
            <w:shd w:val="clear" w:color="auto" w:fill="F2F2F2"/>
          </w:tcPr>
          <w:p w14:paraId="22AE63C6" w14:textId="77777777" w:rsidR="00C765B3" w:rsidRDefault="000575A1">
            <w:pPr>
              <w:spacing w:after="40"/>
              <w:jc w:val="center"/>
            </w:pPr>
            <w:r>
              <w:rPr>
                <w:b/>
                <w:sz w:val="20"/>
              </w:rPr>
              <w:t>Означение</w:t>
            </w:r>
          </w:p>
        </w:tc>
      </w:tr>
      <w:tr w:rsidR="00C765B3" w14:paraId="22B71706" w14:textId="77777777">
        <w:trPr>
          <w:jc w:val="center"/>
        </w:trPr>
        <w:tc>
          <w:tcPr>
            <w:tcW w:w="1814" w:type="dxa"/>
          </w:tcPr>
          <w:p w14:paraId="1DAB8247" w14:textId="77777777" w:rsidR="00C765B3" w:rsidRDefault="000575A1">
            <w:pPr>
              <w:spacing w:after="40"/>
              <w:jc w:val="center"/>
            </w:pPr>
            <w:r>
              <w:rPr>
                <w:sz w:val="20"/>
              </w:rPr>
              <w:t>П1</w:t>
            </w:r>
          </w:p>
          <w:p w14:paraId="57B1AECA" w14:textId="77777777" w:rsidR="00C765B3" w:rsidRDefault="000575A1">
            <w:pPr>
              <w:spacing w:after="40"/>
              <w:jc w:val="center"/>
            </w:pPr>
            <w:r>
              <w:rPr>
                <w:sz w:val="20"/>
              </w:rPr>
              <w:t>Предложена цена</w:t>
            </w:r>
          </w:p>
        </w:tc>
        <w:tc>
          <w:tcPr>
            <w:tcW w:w="4309" w:type="dxa"/>
          </w:tcPr>
          <w:p w14:paraId="568B62C8" w14:textId="77777777" w:rsidR="00C765B3" w:rsidRDefault="000575A1">
            <w:pPr>
              <w:spacing w:after="40"/>
            </w:pPr>
            <w:r>
              <w:rPr>
                <w:sz w:val="20"/>
              </w:rPr>
              <w:t>Общата цена за изпълнение на услугата, посочена в ценовото предложение на кандидата, в евро без ДДС.</w:t>
            </w:r>
          </w:p>
        </w:tc>
        <w:tc>
          <w:tcPr>
            <w:tcW w:w="1361" w:type="dxa"/>
          </w:tcPr>
          <w:p w14:paraId="3C5985F9" w14:textId="77777777" w:rsidR="00C765B3" w:rsidRDefault="000575A1">
            <w:pPr>
              <w:spacing w:after="40"/>
            </w:pPr>
            <w:r>
              <w:rPr>
                <w:sz w:val="20"/>
              </w:rPr>
              <w:t>30 % (0,30)</w:t>
            </w:r>
          </w:p>
        </w:tc>
        <w:tc>
          <w:tcPr>
            <w:tcW w:w="1134" w:type="dxa"/>
          </w:tcPr>
          <w:p w14:paraId="517569D6" w14:textId="77777777" w:rsidR="00C765B3" w:rsidRDefault="000575A1">
            <w:pPr>
              <w:spacing w:after="40"/>
            </w:pPr>
            <w:r>
              <w:rPr>
                <w:sz w:val="20"/>
              </w:rPr>
              <w:t>10</w:t>
            </w:r>
          </w:p>
        </w:tc>
        <w:tc>
          <w:tcPr>
            <w:tcW w:w="1020" w:type="dxa"/>
          </w:tcPr>
          <w:p w14:paraId="206A226B" w14:textId="77777777" w:rsidR="00C765B3" w:rsidRDefault="000575A1">
            <w:pPr>
              <w:spacing w:after="40"/>
            </w:pPr>
            <w:r>
              <w:rPr>
                <w:sz w:val="20"/>
              </w:rPr>
              <w:t>Т1</w:t>
            </w:r>
          </w:p>
        </w:tc>
      </w:tr>
      <w:tr w:rsidR="00C765B3" w14:paraId="43E78E04" w14:textId="77777777">
        <w:trPr>
          <w:jc w:val="center"/>
        </w:trPr>
        <w:tc>
          <w:tcPr>
            <w:tcW w:w="1814" w:type="dxa"/>
          </w:tcPr>
          <w:p w14:paraId="64FB04D7" w14:textId="77777777" w:rsidR="00C765B3" w:rsidRDefault="000575A1">
            <w:pPr>
              <w:spacing w:after="40"/>
              <w:jc w:val="center"/>
            </w:pPr>
            <w:r>
              <w:rPr>
                <w:sz w:val="20"/>
              </w:rPr>
              <w:t>П2</w:t>
            </w:r>
          </w:p>
          <w:p w14:paraId="0CF586C6" w14:textId="77777777" w:rsidR="00C765B3" w:rsidRDefault="000575A1">
            <w:pPr>
              <w:spacing w:after="40"/>
              <w:jc w:val="center"/>
            </w:pPr>
            <w:r>
              <w:rPr>
                <w:sz w:val="20"/>
              </w:rPr>
              <w:t>Организация и непрекъснатост на изпълнението</w:t>
            </w:r>
          </w:p>
        </w:tc>
        <w:tc>
          <w:tcPr>
            <w:tcW w:w="4309" w:type="dxa"/>
          </w:tcPr>
          <w:p w14:paraId="4240052A" w14:textId="77777777" w:rsidR="00C765B3" w:rsidRDefault="000575A1">
            <w:pPr>
              <w:spacing w:after="40"/>
            </w:pPr>
            <w:r>
              <w:rPr>
                <w:sz w:val="20"/>
              </w:rPr>
              <w:t>Предложението по П2 в техническото предложение – как кандидатът ще организира изпълнението на услугата и как ще осигури нейната непрекъснатост при извънредни обстоятелства.</w:t>
            </w:r>
          </w:p>
        </w:tc>
        <w:tc>
          <w:tcPr>
            <w:tcW w:w="1361" w:type="dxa"/>
          </w:tcPr>
          <w:p w14:paraId="2D12EEAE" w14:textId="77777777" w:rsidR="00C765B3" w:rsidRDefault="000575A1">
            <w:pPr>
              <w:spacing w:after="40"/>
            </w:pPr>
            <w:r>
              <w:rPr>
                <w:sz w:val="20"/>
              </w:rPr>
              <w:t>70 % (0,70)</w:t>
            </w:r>
          </w:p>
        </w:tc>
        <w:tc>
          <w:tcPr>
            <w:tcW w:w="1134" w:type="dxa"/>
          </w:tcPr>
          <w:p w14:paraId="4A5B5B8F" w14:textId="77777777" w:rsidR="00C765B3" w:rsidRDefault="000575A1">
            <w:pPr>
              <w:spacing w:after="40"/>
            </w:pPr>
            <w:r>
              <w:rPr>
                <w:sz w:val="20"/>
              </w:rPr>
              <w:t>10</w:t>
            </w:r>
          </w:p>
        </w:tc>
        <w:tc>
          <w:tcPr>
            <w:tcW w:w="1020" w:type="dxa"/>
          </w:tcPr>
          <w:p w14:paraId="2DD44854" w14:textId="77777777" w:rsidR="00C765B3" w:rsidRDefault="000575A1">
            <w:pPr>
              <w:spacing w:after="40"/>
            </w:pPr>
            <w:r>
              <w:rPr>
                <w:sz w:val="20"/>
              </w:rPr>
              <w:t>Т2</w:t>
            </w:r>
          </w:p>
        </w:tc>
      </w:tr>
    </w:tbl>
    <w:p w14:paraId="253FFE94" w14:textId="77777777" w:rsidR="00C765B3" w:rsidRDefault="00C765B3">
      <w:pPr>
        <w:spacing w:after="80"/>
        <w:jc w:val="both"/>
      </w:pPr>
    </w:p>
    <w:p w14:paraId="2316466A" w14:textId="77777777" w:rsidR="00C765B3" w:rsidRDefault="000575A1">
      <w:pPr>
        <w:spacing w:after="80"/>
        <w:jc w:val="both"/>
      </w:pPr>
      <w:r>
        <w:rPr>
          <w:sz w:val="22"/>
        </w:rPr>
        <w:t>Комплексната оценка на всяка оферта се изчислява по формулата:</w:t>
      </w:r>
    </w:p>
    <w:p w14:paraId="28981166" w14:textId="77777777" w:rsidR="00C765B3" w:rsidRDefault="000575A1">
      <w:pPr>
        <w:spacing w:after="80"/>
        <w:jc w:val="center"/>
      </w:pPr>
      <w:r>
        <w:rPr>
          <w:b/>
        </w:rPr>
        <w:t>КО = 0,30 × Т1 + 0,70 × Т2</w:t>
      </w:r>
    </w:p>
    <w:p w14:paraId="6CE03511" w14:textId="77777777" w:rsidR="00C765B3" w:rsidRDefault="000575A1">
      <w:pPr>
        <w:spacing w:after="200"/>
        <w:jc w:val="both"/>
      </w:pPr>
      <w:r>
        <w:rPr>
          <w:sz w:val="22"/>
        </w:rPr>
        <w:t>където Т1 и Т2 са точките на офертата съответно по показател П1 и по показател П2. Максималната стойност на КО е 10 точки и се достига при Т1 = 10 и Т2 = 10.</w:t>
      </w:r>
    </w:p>
    <w:p w14:paraId="7060C429" w14:textId="77777777" w:rsidR="00C765B3" w:rsidRDefault="000575A1">
      <w:pPr>
        <w:keepNext/>
        <w:spacing w:after="120"/>
        <w:jc w:val="both"/>
      </w:pPr>
      <w:r>
        <w:rPr>
          <w:b/>
          <w:sz w:val="22"/>
        </w:rPr>
        <w:t>Раздел III. Точки по показател П1 „Предложена цена“ (Т1)</w:t>
      </w:r>
    </w:p>
    <w:p w14:paraId="4B5243D1" w14:textId="77777777" w:rsidR="00C765B3" w:rsidRDefault="000575A1">
      <w:pPr>
        <w:spacing w:after="120"/>
        <w:jc w:val="both"/>
      </w:pPr>
      <w:r>
        <w:rPr>
          <w:b/>
          <w:sz w:val="22"/>
        </w:rPr>
        <w:t xml:space="preserve">3.1. </w:t>
      </w:r>
      <w:r>
        <w:rPr>
          <w:sz w:val="22"/>
        </w:rPr>
        <w:t>Съпоставят се общите цени без ДДС, посочени в ценовите предложения на всички оферти, допуснати до оценка.</w:t>
      </w:r>
    </w:p>
    <w:p w14:paraId="2E008A8F" w14:textId="77777777" w:rsidR="00C765B3" w:rsidRDefault="000575A1">
      <w:pPr>
        <w:spacing w:after="120"/>
        <w:jc w:val="both"/>
      </w:pPr>
      <w:r>
        <w:rPr>
          <w:b/>
          <w:sz w:val="22"/>
        </w:rPr>
        <w:t xml:space="preserve">3.2. </w:t>
      </w:r>
      <w:r>
        <w:rPr>
          <w:sz w:val="22"/>
        </w:rPr>
        <w:t>Офертата с най-ниска обща цена получава Т1 = 10 точки.</w:t>
      </w:r>
    </w:p>
    <w:p w14:paraId="65D05D6C" w14:textId="77777777" w:rsidR="00C765B3" w:rsidRDefault="000575A1">
      <w:pPr>
        <w:spacing w:after="80"/>
        <w:jc w:val="both"/>
      </w:pPr>
      <w:r>
        <w:rPr>
          <w:b/>
          <w:sz w:val="22"/>
        </w:rPr>
        <w:t xml:space="preserve">3.3. </w:t>
      </w:r>
      <w:r>
        <w:rPr>
          <w:sz w:val="22"/>
        </w:rPr>
        <w:t>Точките на всяка от останалите оферти се изчисляват по формулата:</w:t>
      </w:r>
    </w:p>
    <w:p w14:paraId="059CF166" w14:textId="77777777" w:rsidR="00C765B3" w:rsidRDefault="000575A1">
      <w:pPr>
        <w:spacing w:after="80"/>
        <w:jc w:val="center"/>
      </w:pPr>
      <w:r>
        <w:rPr>
          <w:b/>
        </w:rPr>
        <w:t>Т1 = 10 × (Ц мин. / Ц оферта)</w:t>
      </w:r>
    </w:p>
    <w:p w14:paraId="70E57E83" w14:textId="77777777" w:rsidR="00C765B3" w:rsidRDefault="000575A1">
      <w:pPr>
        <w:spacing w:after="120"/>
        <w:jc w:val="both"/>
      </w:pPr>
      <w:r>
        <w:rPr>
          <w:sz w:val="22"/>
        </w:rPr>
        <w:t>където Ц мин. е най-ниската обща цена сред всички допуснати оферти, а Ц оферта – общата цена, предложена от оценяваната оферта.</w:t>
      </w:r>
    </w:p>
    <w:p w14:paraId="62A022CD" w14:textId="77777777" w:rsidR="00C765B3" w:rsidRDefault="000575A1">
      <w:pPr>
        <w:keepNext/>
        <w:spacing w:after="120"/>
        <w:jc w:val="both"/>
      </w:pPr>
      <w:r>
        <w:rPr>
          <w:b/>
          <w:sz w:val="22"/>
        </w:rPr>
        <w:lastRenderedPageBreak/>
        <w:t>Раздел IV. Точки по показател П2 „Организация и непрекъснатост на изпълнението“ (Т2)</w:t>
      </w:r>
    </w:p>
    <w:p w14:paraId="3463FD52" w14:textId="643B84B5" w:rsidR="00C765B3" w:rsidRPr="00EE22AD" w:rsidRDefault="000575A1">
      <w:pPr>
        <w:spacing w:after="120"/>
        <w:jc w:val="both"/>
        <w:rPr>
          <w:lang w:val="en-US"/>
        </w:rPr>
      </w:pPr>
      <w:r>
        <w:rPr>
          <w:b/>
          <w:sz w:val="22"/>
        </w:rPr>
        <w:t xml:space="preserve">4.1. Какво се оценява. </w:t>
      </w:r>
      <w:r>
        <w:rPr>
          <w:sz w:val="22"/>
        </w:rPr>
        <w:t xml:space="preserve">По П2 се оценява предложението на кандидата за това как ще организира изпълнението на услугата и как ще гарантира, че услугата няма да прекъсва при извънредни обстоятелства </w:t>
      </w:r>
      <w:r w:rsidR="00EE22AD">
        <w:rPr>
          <w:sz w:val="22"/>
          <w:lang w:val="en-US"/>
        </w:rPr>
        <w:t>-</w:t>
      </w:r>
      <w:r>
        <w:rPr>
          <w:sz w:val="22"/>
        </w:rPr>
        <w:t xml:space="preserve"> отсъствие или напускане на експерт от екипа, технически откази, загуба на документация, ограничения на достъпа. Предложението по П2 е част от техническото предложение и се състои от обосновки – конкретни ангажименти, от които е ясно кой, как и с какъв ресурс ще действа</w:t>
      </w:r>
      <w:r w:rsidR="00EE22AD">
        <w:rPr>
          <w:sz w:val="22"/>
          <w:lang w:val="en-US"/>
        </w:rPr>
        <w:t>.</w:t>
      </w:r>
    </w:p>
    <w:p w14:paraId="7AFA0D60" w14:textId="77777777" w:rsidR="00C765B3" w:rsidRDefault="000575A1">
      <w:pPr>
        <w:spacing w:after="120"/>
        <w:jc w:val="both"/>
      </w:pPr>
      <w:r>
        <w:rPr>
          <w:b/>
          <w:sz w:val="22"/>
        </w:rPr>
        <w:t xml:space="preserve">4.2. Скала. </w:t>
      </w:r>
      <w:r>
        <w:rPr>
          <w:sz w:val="22"/>
        </w:rPr>
        <w:t>Точките Т2 се присъждат по тристепенна скала. Всяко по-високо ниво изисква изпълнението на всички елементи на предходното ниво и в допълнение на елементите, посочени за него: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07"/>
        <w:gridCol w:w="5216"/>
        <w:gridCol w:w="2551"/>
      </w:tblGrid>
      <w:tr w:rsidR="00C765B3" w14:paraId="228C7F1F" w14:textId="77777777">
        <w:trPr>
          <w:jc w:val="center"/>
        </w:trPr>
        <w:tc>
          <w:tcPr>
            <w:tcW w:w="964" w:type="dxa"/>
            <w:shd w:val="clear" w:color="auto" w:fill="F2F2F2"/>
          </w:tcPr>
          <w:p w14:paraId="65E00CDD" w14:textId="77777777" w:rsidR="00C765B3" w:rsidRDefault="000575A1">
            <w:pPr>
              <w:spacing w:after="40"/>
              <w:jc w:val="center"/>
            </w:pPr>
            <w:r>
              <w:rPr>
                <w:b/>
                <w:sz w:val="19"/>
              </w:rPr>
              <w:t>Ниво</w:t>
            </w:r>
          </w:p>
        </w:tc>
        <w:tc>
          <w:tcPr>
            <w:tcW w:w="907" w:type="dxa"/>
            <w:shd w:val="clear" w:color="auto" w:fill="F2F2F2"/>
          </w:tcPr>
          <w:p w14:paraId="5F5A7730" w14:textId="77777777" w:rsidR="00C765B3" w:rsidRDefault="000575A1">
            <w:pPr>
              <w:spacing w:after="40"/>
              <w:jc w:val="center"/>
            </w:pPr>
            <w:r>
              <w:rPr>
                <w:b/>
                <w:sz w:val="19"/>
              </w:rPr>
              <w:t>Т2</w:t>
            </w:r>
          </w:p>
        </w:tc>
        <w:tc>
          <w:tcPr>
            <w:tcW w:w="5216" w:type="dxa"/>
            <w:shd w:val="clear" w:color="auto" w:fill="F2F2F2"/>
          </w:tcPr>
          <w:p w14:paraId="2C9B64C6" w14:textId="77777777" w:rsidR="00C765B3" w:rsidRDefault="000575A1">
            <w:pPr>
              <w:spacing w:after="40"/>
              <w:jc w:val="center"/>
            </w:pPr>
            <w:r>
              <w:rPr>
                <w:b/>
                <w:sz w:val="19"/>
              </w:rPr>
              <w:t>Какво трябва да съдържа предложението</w:t>
            </w:r>
          </w:p>
        </w:tc>
        <w:tc>
          <w:tcPr>
            <w:tcW w:w="2551" w:type="dxa"/>
            <w:shd w:val="clear" w:color="auto" w:fill="F2F2F2"/>
          </w:tcPr>
          <w:p w14:paraId="6075CED4" w14:textId="77777777" w:rsidR="00C765B3" w:rsidRDefault="000575A1">
            <w:pPr>
              <w:spacing w:after="40"/>
              <w:jc w:val="center"/>
            </w:pPr>
            <w:r>
              <w:rPr>
                <w:b/>
                <w:sz w:val="19"/>
              </w:rPr>
              <w:t>С какво се доказва</w:t>
            </w:r>
          </w:p>
        </w:tc>
      </w:tr>
      <w:tr w:rsidR="00C765B3" w14:paraId="4CB54ABD" w14:textId="77777777">
        <w:trPr>
          <w:jc w:val="center"/>
        </w:trPr>
        <w:tc>
          <w:tcPr>
            <w:tcW w:w="964" w:type="dxa"/>
          </w:tcPr>
          <w:p w14:paraId="02F59584" w14:textId="77777777" w:rsidR="00C765B3" w:rsidRDefault="000575A1">
            <w:pPr>
              <w:spacing w:after="40"/>
              <w:jc w:val="center"/>
            </w:pPr>
            <w:r>
              <w:rPr>
                <w:sz w:val="19"/>
              </w:rPr>
              <w:t>Ниво 1</w:t>
            </w:r>
          </w:p>
        </w:tc>
        <w:tc>
          <w:tcPr>
            <w:tcW w:w="907" w:type="dxa"/>
          </w:tcPr>
          <w:p w14:paraId="2275A6D9" w14:textId="25F0BF4D" w:rsidR="00C765B3" w:rsidRDefault="003265A9">
            <w:pPr>
              <w:spacing w:after="40"/>
            </w:pPr>
            <w:r>
              <w:rPr>
                <w:sz w:val="19"/>
                <w:lang w:val="en-US"/>
              </w:rPr>
              <w:t>3</w:t>
            </w:r>
            <w:r>
              <w:rPr>
                <w:sz w:val="19"/>
              </w:rPr>
              <w:t xml:space="preserve"> точки</w:t>
            </w:r>
          </w:p>
        </w:tc>
        <w:tc>
          <w:tcPr>
            <w:tcW w:w="5216" w:type="dxa"/>
          </w:tcPr>
          <w:p w14:paraId="168E87A9" w14:textId="77777777" w:rsidR="00C765B3" w:rsidRDefault="000575A1">
            <w:pPr>
              <w:spacing w:after="40"/>
            </w:pPr>
            <w:r>
              <w:rPr>
                <w:sz w:val="19"/>
              </w:rPr>
              <w:t>Обосновка на организацията на изпълнението, която включва:</w:t>
            </w:r>
          </w:p>
          <w:p w14:paraId="74F72B0B" w14:textId="77777777" w:rsidR="00C765B3" w:rsidRDefault="000575A1">
            <w:pPr>
              <w:spacing w:after="40"/>
            </w:pPr>
            <w:r>
              <w:rPr>
                <w:sz w:val="19"/>
              </w:rPr>
              <w:t>(а) разпределение на задачите и отговорностите между експертите от екипа по всяка от дейностите в Техническата спецификация;</w:t>
            </w:r>
          </w:p>
          <w:p w14:paraId="493B3E3B" w14:textId="77777777" w:rsidR="00C765B3" w:rsidRDefault="000575A1">
            <w:pPr>
              <w:spacing w:after="40"/>
            </w:pPr>
            <w:r>
              <w:rPr>
                <w:sz w:val="19"/>
              </w:rPr>
              <w:t>(б) механизъм за комуникация и координация с Възложителя и с Управляващия орган – канали, отговорни лица и ред за съгласуване на документите преди подаването им в ИСУН;</w:t>
            </w:r>
          </w:p>
          <w:p w14:paraId="00CF333B" w14:textId="77777777" w:rsidR="00C765B3" w:rsidRDefault="000575A1">
            <w:pPr>
              <w:spacing w:after="40"/>
            </w:pPr>
            <w:r>
              <w:rPr>
                <w:sz w:val="19"/>
              </w:rPr>
              <w:t>(в) процедура за вътрешен контрол на качеството на отчетите и на исканията за плащане преди подаването им.</w:t>
            </w:r>
          </w:p>
        </w:tc>
        <w:tc>
          <w:tcPr>
            <w:tcW w:w="2551" w:type="dxa"/>
          </w:tcPr>
          <w:p w14:paraId="27ED1116" w14:textId="77777777" w:rsidR="00C765B3" w:rsidRDefault="000575A1">
            <w:pPr>
              <w:spacing w:after="40"/>
            </w:pPr>
            <w:r>
              <w:rPr>
                <w:sz w:val="19"/>
              </w:rPr>
              <w:t>Обосновката в техническото предложение.</w:t>
            </w:r>
          </w:p>
        </w:tc>
      </w:tr>
      <w:tr w:rsidR="00C765B3" w14:paraId="55AD833C" w14:textId="77777777">
        <w:trPr>
          <w:jc w:val="center"/>
        </w:trPr>
        <w:tc>
          <w:tcPr>
            <w:tcW w:w="964" w:type="dxa"/>
          </w:tcPr>
          <w:p w14:paraId="62012085" w14:textId="77777777" w:rsidR="00C765B3" w:rsidRDefault="000575A1">
            <w:pPr>
              <w:spacing w:after="40"/>
              <w:jc w:val="center"/>
            </w:pPr>
            <w:r>
              <w:rPr>
                <w:sz w:val="19"/>
              </w:rPr>
              <w:t>Ниво 2</w:t>
            </w:r>
          </w:p>
        </w:tc>
        <w:tc>
          <w:tcPr>
            <w:tcW w:w="907" w:type="dxa"/>
          </w:tcPr>
          <w:p w14:paraId="6049671B" w14:textId="0A704A11" w:rsidR="00C765B3" w:rsidRDefault="005445D6">
            <w:pPr>
              <w:spacing w:after="40"/>
            </w:pPr>
            <w:r>
              <w:rPr>
                <w:sz w:val="19"/>
                <w:lang w:val="en-US"/>
              </w:rPr>
              <w:t>7</w:t>
            </w:r>
            <w:r>
              <w:rPr>
                <w:sz w:val="19"/>
              </w:rPr>
              <w:t xml:space="preserve"> точки</w:t>
            </w:r>
          </w:p>
        </w:tc>
        <w:tc>
          <w:tcPr>
            <w:tcW w:w="5216" w:type="dxa"/>
          </w:tcPr>
          <w:p w14:paraId="7B055A03" w14:textId="1A0D8BE7" w:rsidR="00C765B3" w:rsidRDefault="000575A1">
            <w:pPr>
              <w:spacing w:after="40"/>
            </w:pPr>
            <w:r>
              <w:rPr>
                <w:sz w:val="19"/>
              </w:rPr>
              <w:t>Всичко по Ниво 1 и в допълнение – обосновка за осигуряване на непрекъснатост на услугата:</w:t>
            </w:r>
          </w:p>
          <w:p w14:paraId="175B11D0" w14:textId="14BCED9E" w:rsidR="00C765B3" w:rsidRDefault="000575A1">
            <w:pPr>
              <w:spacing w:after="40"/>
            </w:pPr>
            <w:r>
              <w:rPr>
                <w:sz w:val="19"/>
              </w:rPr>
              <w:t>(а) процедура (план) за непрекъсваемост и възстановяване на дейността при извънредни обстоятелства – отсъствие или напускане на експерт, технически откази, ограничения на достъпа – с определени отговорници, ред за действие и срокове за реакция;</w:t>
            </w:r>
          </w:p>
          <w:p w14:paraId="1BC7219F" w14:textId="2EF491ED" w:rsidR="00C765B3" w:rsidRDefault="000575A1">
            <w:pPr>
              <w:spacing w:after="40"/>
            </w:pPr>
            <w:r>
              <w:rPr>
                <w:sz w:val="19"/>
              </w:rPr>
              <w:t>(б) система за съхранение, архивиране и защитен достъп до документацията по проекта, която осигурява възстановяването ѝ при загуба.</w:t>
            </w:r>
          </w:p>
        </w:tc>
        <w:tc>
          <w:tcPr>
            <w:tcW w:w="2551" w:type="dxa"/>
          </w:tcPr>
          <w:p w14:paraId="4161880F" w14:textId="3FC3D2A0" w:rsidR="00C765B3" w:rsidRDefault="005B1D30">
            <w:pPr>
              <w:spacing w:after="40"/>
            </w:pPr>
            <w:r>
              <w:rPr>
                <w:sz w:val="19"/>
              </w:rPr>
              <w:t>Обосновката в техническото предложение.</w:t>
            </w:r>
          </w:p>
        </w:tc>
      </w:tr>
      <w:tr w:rsidR="00C765B3" w14:paraId="0CE433F9" w14:textId="77777777">
        <w:trPr>
          <w:jc w:val="center"/>
        </w:trPr>
        <w:tc>
          <w:tcPr>
            <w:tcW w:w="964" w:type="dxa"/>
          </w:tcPr>
          <w:p w14:paraId="7C908230" w14:textId="77777777" w:rsidR="00C765B3" w:rsidRDefault="000575A1">
            <w:pPr>
              <w:spacing w:after="40"/>
              <w:jc w:val="center"/>
            </w:pPr>
            <w:r>
              <w:rPr>
                <w:sz w:val="19"/>
              </w:rPr>
              <w:t>Ниво 3</w:t>
            </w:r>
          </w:p>
        </w:tc>
        <w:tc>
          <w:tcPr>
            <w:tcW w:w="907" w:type="dxa"/>
          </w:tcPr>
          <w:p w14:paraId="4EDF7322" w14:textId="77777777" w:rsidR="00C765B3" w:rsidRDefault="000575A1">
            <w:pPr>
              <w:spacing w:after="40"/>
            </w:pPr>
            <w:r>
              <w:rPr>
                <w:sz w:val="19"/>
              </w:rPr>
              <w:t>10 точки</w:t>
            </w:r>
          </w:p>
        </w:tc>
        <w:tc>
          <w:tcPr>
            <w:tcW w:w="5216" w:type="dxa"/>
          </w:tcPr>
          <w:p w14:paraId="6D50B764" w14:textId="7A5C503F" w:rsidR="00C765B3" w:rsidRDefault="000575A1">
            <w:pPr>
              <w:spacing w:after="40"/>
            </w:pPr>
            <w:r>
              <w:rPr>
                <w:sz w:val="19"/>
              </w:rPr>
              <w:t xml:space="preserve">Всичко по Ниво 2 и в допълнение – внедрена и сертифицирана система за управление на непрекъснатостта на дейността по ISO 22301 (или еквивалентен стандарт), валидна към датата на подаване на офертата, с обхват, който включва консултантски услуги по </w:t>
            </w:r>
            <w:r w:rsidR="00803928">
              <w:rPr>
                <w:sz w:val="19"/>
              </w:rPr>
              <w:t xml:space="preserve">организация и </w:t>
            </w:r>
            <w:r>
              <w:rPr>
                <w:sz w:val="19"/>
              </w:rPr>
              <w:t>управление на проекти с безвъзмездно финансиране (или еквивалентен обхват).</w:t>
            </w:r>
          </w:p>
        </w:tc>
        <w:tc>
          <w:tcPr>
            <w:tcW w:w="2551" w:type="dxa"/>
          </w:tcPr>
          <w:p w14:paraId="4C986193" w14:textId="77777777" w:rsidR="00C765B3" w:rsidRDefault="000575A1">
            <w:pPr>
              <w:spacing w:after="40"/>
            </w:pPr>
            <w:r>
              <w:rPr>
                <w:sz w:val="19"/>
              </w:rPr>
              <w:t>Копие от сертификата по ISO 22301 (или еквивалентен), приложено към техническото предложение.</w:t>
            </w:r>
          </w:p>
        </w:tc>
      </w:tr>
      <w:tr w:rsidR="00C765B3" w14:paraId="22BD4746" w14:textId="77777777">
        <w:trPr>
          <w:jc w:val="center"/>
        </w:trPr>
        <w:tc>
          <w:tcPr>
            <w:tcW w:w="964" w:type="dxa"/>
          </w:tcPr>
          <w:p w14:paraId="29AA9CB1" w14:textId="77777777" w:rsidR="00C765B3" w:rsidRDefault="000575A1">
            <w:pPr>
              <w:spacing w:after="40"/>
              <w:jc w:val="center"/>
            </w:pPr>
            <w:r>
              <w:rPr>
                <w:sz w:val="19"/>
              </w:rPr>
              <w:t>Без ниво</w:t>
            </w:r>
          </w:p>
        </w:tc>
        <w:tc>
          <w:tcPr>
            <w:tcW w:w="907" w:type="dxa"/>
          </w:tcPr>
          <w:p w14:paraId="114A05D9" w14:textId="77777777" w:rsidR="00C765B3" w:rsidRDefault="000575A1">
            <w:pPr>
              <w:spacing w:after="40"/>
            </w:pPr>
            <w:r>
              <w:rPr>
                <w:sz w:val="19"/>
              </w:rPr>
              <w:t>0 точки</w:t>
            </w:r>
          </w:p>
        </w:tc>
        <w:tc>
          <w:tcPr>
            <w:tcW w:w="5216" w:type="dxa"/>
          </w:tcPr>
          <w:p w14:paraId="5FCF1D9D" w14:textId="77777777" w:rsidR="00C765B3" w:rsidRDefault="000575A1">
            <w:pPr>
              <w:spacing w:after="40"/>
            </w:pPr>
            <w:r>
              <w:rPr>
                <w:sz w:val="19"/>
              </w:rPr>
              <w:t>Предложение по П2 не е представено или представеното не покрива изцяло всички елементи на Ниво 1.</w:t>
            </w:r>
          </w:p>
        </w:tc>
        <w:tc>
          <w:tcPr>
            <w:tcW w:w="2551" w:type="dxa"/>
          </w:tcPr>
          <w:p w14:paraId="27AFEA53" w14:textId="77777777" w:rsidR="00C765B3" w:rsidRDefault="000575A1">
            <w:pPr>
              <w:spacing w:after="40"/>
            </w:pPr>
            <w:r>
              <w:rPr>
                <w:sz w:val="19"/>
              </w:rPr>
              <w:t>–</w:t>
            </w:r>
          </w:p>
        </w:tc>
      </w:tr>
    </w:tbl>
    <w:p w14:paraId="52640918" w14:textId="77777777" w:rsidR="00C765B3" w:rsidRDefault="00C765B3">
      <w:pPr>
        <w:spacing w:after="80"/>
        <w:jc w:val="both"/>
      </w:pPr>
    </w:p>
    <w:p w14:paraId="62BDAE31" w14:textId="77777777" w:rsidR="00C765B3" w:rsidRDefault="000575A1">
      <w:pPr>
        <w:spacing w:after="80"/>
        <w:jc w:val="both"/>
      </w:pPr>
      <w:r>
        <w:rPr>
          <w:b/>
          <w:sz w:val="22"/>
        </w:rPr>
        <w:t>4.3. Правила за прилагане на скалата:</w:t>
      </w:r>
    </w:p>
    <w:p w14:paraId="21D06ACA" w14:textId="77777777" w:rsidR="00C765B3" w:rsidRDefault="000575A1">
      <w:pPr>
        <w:spacing w:after="60"/>
        <w:ind w:left="425"/>
        <w:jc w:val="both"/>
      </w:pPr>
      <w:r>
        <w:rPr>
          <w:b/>
          <w:sz w:val="22"/>
        </w:rPr>
        <w:t xml:space="preserve">(а) </w:t>
      </w:r>
      <w:r>
        <w:rPr>
          <w:sz w:val="22"/>
        </w:rPr>
        <w:t>присъжда се едно ниво – най-високото, всички елементи на което са изпълнени; точки от различни нива не се събират;</w:t>
      </w:r>
    </w:p>
    <w:p w14:paraId="539D8AD1" w14:textId="77777777" w:rsidR="00C765B3" w:rsidRDefault="000575A1">
      <w:pPr>
        <w:spacing w:after="60"/>
        <w:ind w:left="425"/>
        <w:jc w:val="both"/>
      </w:pPr>
      <w:r>
        <w:rPr>
          <w:b/>
          <w:sz w:val="22"/>
        </w:rPr>
        <w:t xml:space="preserve">(б) </w:t>
      </w:r>
      <w:r>
        <w:rPr>
          <w:sz w:val="22"/>
        </w:rPr>
        <w:t>елемент се счита за изпълнен само когато обосновката съдържа конкретни ангажименти, приложими към предмета на този договор; общи декларации, преразказ на изискванията или позоваване на опит без описание на конкретния начин на действие не се приемат;</w:t>
      </w:r>
    </w:p>
    <w:p w14:paraId="5DE3600C" w14:textId="77777777" w:rsidR="00C765B3" w:rsidRDefault="000575A1">
      <w:pPr>
        <w:spacing w:after="60"/>
        <w:ind w:left="425"/>
        <w:jc w:val="both"/>
      </w:pPr>
      <w:r>
        <w:rPr>
          <w:b/>
          <w:sz w:val="22"/>
        </w:rPr>
        <w:t xml:space="preserve">(в) </w:t>
      </w:r>
      <w:r>
        <w:rPr>
          <w:sz w:val="22"/>
        </w:rPr>
        <w:t>непредставянето на предложение по П2 или непокриването на Ниво 1 не е основание за отстраняване на офертата – в този случай Т2 = 0 и офертата продължава да участва в класирането с оценката си по П1;</w:t>
      </w:r>
    </w:p>
    <w:p w14:paraId="76E88A51" w14:textId="77777777" w:rsidR="00C765B3" w:rsidRDefault="000575A1">
      <w:pPr>
        <w:spacing w:after="200"/>
        <w:ind w:left="425"/>
        <w:jc w:val="both"/>
      </w:pPr>
      <w:r>
        <w:rPr>
          <w:b/>
          <w:sz w:val="22"/>
        </w:rPr>
        <w:t xml:space="preserve">(г) </w:t>
      </w:r>
      <w:r>
        <w:rPr>
          <w:sz w:val="22"/>
        </w:rPr>
        <w:t>оценителите могат да искат разяснения по представеното предложение по П2 по реда на публичната покана, като разясненията не могат да променят съдържанието на техническото и ценовото предложение.</w:t>
      </w:r>
    </w:p>
    <w:p w14:paraId="520F3D16" w14:textId="77777777" w:rsidR="00C765B3" w:rsidRDefault="000575A1">
      <w:pPr>
        <w:keepNext/>
        <w:spacing w:after="120"/>
        <w:jc w:val="both"/>
      </w:pPr>
      <w:r>
        <w:rPr>
          <w:b/>
          <w:sz w:val="22"/>
        </w:rPr>
        <w:lastRenderedPageBreak/>
        <w:t>Раздел V. Изчисляване на комплексната оценка и класиране</w:t>
      </w:r>
    </w:p>
    <w:p w14:paraId="2DA751FB" w14:textId="77777777" w:rsidR="00C765B3" w:rsidRDefault="000575A1">
      <w:pPr>
        <w:spacing w:after="60"/>
        <w:jc w:val="both"/>
      </w:pPr>
      <w:r>
        <w:rPr>
          <w:b/>
          <w:sz w:val="22"/>
        </w:rPr>
        <w:t xml:space="preserve">5.1. </w:t>
      </w:r>
      <w:r>
        <w:rPr>
          <w:sz w:val="22"/>
        </w:rPr>
        <w:t>Оценителите извършват последователно следните стъпки:</w:t>
      </w:r>
    </w:p>
    <w:p w14:paraId="0700CD9F" w14:textId="77777777" w:rsidR="00C765B3" w:rsidRDefault="000575A1">
      <w:pPr>
        <w:spacing w:after="60"/>
        <w:ind w:left="425"/>
        <w:jc w:val="both"/>
      </w:pPr>
      <w:r>
        <w:rPr>
          <w:b/>
          <w:sz w:val="22"/>
        </w:rPr>
        <w:t xml:space="preserve">Стъпка 1 – </w:t>
      </w:r>
      <w:r>
        <w:rPr>
          <w:sz w:val="22"/>
        </w:rPr>
        <w:t>определят Т1 и Т2 за всяка допусната оферта по реда на Раздели III и IV;</w:t>
      </w:r>
    </w:p>
    <w:p w14:paraId="44DD1285" w14:textId="77777777" w:rsidR="00C765B3" w:rsidRDefault="000575A1">
      <w:pPr>
        <w:spacing w:after="60"/>
        <w:ind w:left="425"/>
        <w:jc w:val="both"/>
      </w:pPr>
      <w:r>
        <w:rPr>
          <w:b/>
          <w:sz w:val="22"/>
        </w:rPr>
        <w:t xml:space="preserve">Стъпка 2 – </w:t>
      </w:r>
      <w:r>
        <w:rPr>
          <w:sz w:val="22"/>
        </w:rPr>
        <w:t>изчисляват КО = 0,30 × Т1 + 0,70 × Т2 за всяка оферта;</w:t>
      </w:r>
    </w:p>
    <w:p w14:paraId="701C5646" w14:textId="77777777" w:rsidR="00C765B3" w:rsidRDefault="000575A1">
      <w:pPr>
        <w:spacing w:after="120"/>
        <w:ind w:left="425"/>
        <w:jc w:val="both"/>
      </w:pPr>
      <w:r>
        <w:rPr>
          <w:b/>
          <w:sz w:val="22"/>
        </w:rPr>
        <w:t xml:space="preserve">Стъпка 3 – </w:t>
      </w:r>
      <w:r>
        <w:rPr>
          <w:sz w:val="22"/>
        </w:rPr>
        <w:t>подреждат офертите по КО в низходящ ред и отразяват резултата в протокола от оценката.</w:t>
      </w:r>
    </w:p>
    <w:p w14:paraId="0A26B318" w14:textId="77777777" w:rsidR="00C765B3" w:rsidRDefault="000575A1">
      <w:pPr>
        <w:spacing w:after="120"/>
        <w:jc w:val="both"/>
      </w:pPr>
      <w:r>
        <w:rPr>
          <w:b/>
          <w:sz w:val="22"/>
        </w:rPr>
        <w:t xml:space="preserve">5.2. </w:t>
      </w:r>
      <w:r>
        <w:rPr>
          <w:sz w:val="22"/>
        </w:rPr>
        <w:t>Точките по всеки показател и комплексната оценка се закръгляват до втория знак след десетичната запетая.</w:t>
      </w:r>
    </w:p>
    <w:p w14:paraId="09B15658" w14:textId="77777777" w:rsidR="00C765B3" w:rsidRDefault="000575A1">
      <w:pPr>
        <w:spacing w:after="120"/>
        <w:jc w:val="both"/>
      </w:pPr>
      <w:r>
        <w:rPr>
          <w:b/>
          <w:sz w:val="22"/>
        </w:rPr>
        <w:t xml:space="preserve">5.3. </w:t>
      </w:r>
      <w:r>
        <w:rPr>
          <w:sz w:val="22"/>
        </w:rPr>
        <w:t>За изпълнител се определя кандидатът, чиято оферта е класирана на първо място – с най-висока комплексна оценка.</w:t>
      </w:r>
    </w:p>
    <w:p w14:paraId="734A3167" w14:textId="10632D50" w:rsidR="00C765B3" w:rsidRDefault="000575A1">
      <w:pPr>
        <w:spacing w:after="200"/>
        <w:jc w:val="both"/>
      </w:pPr>
      <w:r>
        <w:rPr>
          <w:b/>
          <w:sz w:val="22"/>
        </w:rPr>
        <w:t xml:space="preserve">5.4. </w:t>
      </w:r>
      <w:r>
        <w:rPr>
          <w:sz w:val="22"/>
        </w:rPr>
        <w:t>Когато две или повече оферти имат еднаква комплексна оценка, класираният на първо място се определя чрез жребий, който се провежда в присъствието на оценителите и се документира в протокола от оценката.</w:t>
      </w:r>
    </w:p>
    <w:sectPr w:rsidR="00C765B3" w:rsidSect="007443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56F342" w14:textId="77777777" w:rsidR="00973DDD" w:rsidRDefault="00973DDD">
      <w:r>
        <w:separator/>
      </w:r>
    </w:p>
  </w:endnote>
  <w:endnote w:type="continuationSeparator" w:id="0">
    <w:p w14:paraId="56ECBCD8" w14:textId="77777777" w:rsidR="00973DDD" w:rsidRDefault="00973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AE4B4F" w14:textId="77777777"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AE4B50" w14:textId="77777777" w:rsidR="005004F2" w:rsidRDefault="005004F2" w:rsidP="00961002">
    <w:pPr>
      <w:pStyle w:val="Footer"/>
      <w:ind w:right="360"/>
    </w:pPr>
  </w:p>
  <w:p w14:paraId="3BAE4B51" w14:textId="77777777" w:rsidR="001E3FDE" w:rsidRDefault="00B52F35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AE4B52" w14:textId="77777777"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BAE4B53" w14:textId="77777777" w:rsidR="005004F2" w:rsidRDefault="005004F2" w:rsidP="00C31E7F">
    <w:pPr>
      <w:pStyle w:val="Footer"/>
      <w:ind w:right="360"/>
    </w:pPr>
  </w:p>
  <w:p w14:paraId="3BAE4B54" w14:textId="77777777" w:rsidR="001E3FDE" w:rsidRDefault="00B52F35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AE4B5C" w14:textId="77777777" w:rsidR="001E3FDE" w:rsidRDefault="00B52F35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E92B8E" w14:textId="77777777" w:rsidR="00973DDD" w:rsidRDefault="00973DDD">
      <w:r>
        <w:separator/>
      </w:r>
    </w:p>
  </w:footnote>
  <w:footnote w:type="continuationSeparator" w:id="0">
    <w:p w14:paraId="52DCB06E" w14:textId="77777777" w:rsidR="00973DDD" w:rsidRDefault="00973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AE4B49" w14:textId="77777777"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AE4B4A" w14:textId="77777777" w:rsidR="005004F2" w:rsidRDefault="005004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AE4B4B" w14:textId="77777777"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BAE4B4C" w14:textId="77777777" w:rsidR="005004F2" w:rsidRDefault="005004F2">
    <w:pPr>
      <w:pStyle w:val="Header"/>
      <w:rPr>
        <w:lang w:val="en-US"/>
      </w:rPr>
    </w:pPr>
  </w:p>
  <w:p w14:paraId="3BAE4B4D" w14:textId="77777777" w:rsidR="005004F2" w:rsidRDefault="005004F2">
    <w:pPr>
      <w:pStyle w:val="Header"/>
      <w:rPr>
        <w:lang w:val="en-US"/>
      </w:rPr>
    </w:pPr>
  </w:p>
  <w:p w14:paraId="3BAE4B4E" w14:textId="77777777" w:rsidR="005004F2" w:rsidRPr="00D750ED" w:rsidRDefault="005004F2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8C042A" w:rsidRPr="007A524F" w14:paraId="275AD6A0" w14:textId="77777777" w:rsidTr="00C50446">
      <w:trPr>
        <w:trHeight w:val="994"/>
        <w:tblHeader/>
      </w:trPr>
      <w:tc>
        <w:tcPr>
          <w:tcW w:w="2802" w:type="dxa"/>
          <w:vAlign w:val="center"/>
        </w:tcPr>
        <w:p w14:paraId="07D48B24" w14:textId="5383D09F" w:rsidR="000575A1" w:rsidRPr="003229CC" w:rsidRDefault="00973DDD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r>
            <w:rPr>
              <w:rFonts w:ascii="Arial" w:eastAsia="Calibri" w:hAnsi="Arial" w:cs="Arial"/>
              <w:b/>
              <w:noProof/>
              <w:lang w:eastAsia="bg-BG"/>
            </w:rPr>
            <w:pict w14:anchorId="59136EB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i1026" type="#_x0000_t75" alt="" style="width:75.35pt;height:77.3pt;visibility:visible;mso-wrap-style:square;mso-width-percent:0;mso-height-percent:0;mso-width-percent:0;mso-height-percent:0">
                <v:imagedata r:id="rId1" o:title=""/>
                <o:lock v:ext="edit" rotation="t" cropping="t" verticies="t"/>
              </v:shape>
            </w:pict>
          </w:r>
        </w:p>
      </w:tc>
      <w:tc>
        <w:tcPr>
          <w:tcW w:w="3827" w:type="dxa"/>
          <w:vAlign w:val="center"/>
        </w:tcPr>
        <w:p w14:paraId="7FEA9DD8" w14:textId="77777777" w:rsidR="000575A1" w:rsidRPr="007175BA" w:rsidRDefault="000575A1" w:rsidP="007175B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Министерство на регионалното развитие и благоустройството</w:t>
          </w:r>
        </w:p>
        <w:p w14:paraId="66B66964" w14:textId="77777777" w:rsidR="000575A1" w:rsidRPr="003229CC" w:rsidRDefault="000575A1" w:rsidP="007175BA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ГД „Стратегическо планиране и програми за регионално развитие”</w:t>
          </w:r>
        </w:p>
      </w:tc>
      <w:tc>
        <w:tcPr>
          <w:tcW w:w="3260" w:type="dxa"/>
        </w:tcPr>
        <w:p w14:paraId="7EF6202E" w14:textId="5C90FFFB" w:rsidR="000575A1" w:rsidRPr="003229CC" w:rsidRDefault="00973DDD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>
            <w:rPr>
              <w:rFonts w:ascii="Arial" w:eastAsia="Calibri" w:hAnsi="Arial" w:cs="Arial"/>
              <w:b/>
              <w:noProof/>
              <w:sz w:val="22"/>
              <w:szCs w:val="22"/>
              <w:lang w:eastAsia="bg-BG"/>
            </w:rPr>
            <w:pict w14:anchorId="198CEDAD">
              <v:shape id="Picture 1" o:spid="_x0000_i1025" type="#_x0000_t75" alt="" style="width:86.9pt;height:80.65pt;visibility:visible;mso-wrap-style:square;mso-width-percent:0;mso-height-percent:0;mso-width-percent:0;mso-height-percent:0">
                <v:imagedata r:id="rId2" o:title=""/>
                <o:lock v:ext="edit" rotation="t" cropping="t" verticies="t"/>
              </v:shape>
            </w:pict>
          </w:r>
        </w:p>
        <w:p w14:paraId="433D7268" w14:textId="77777777" w:rsidR="000575A1" w:rsidRPr="003229CC" w:rsidRDefault="000575A1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</w:p>
      </w:tc>
    </w:tr>
  </w:tbl>
  <w:p w14:paraId="62E87F9B" w14:textId="77777777" w:rsidR="000575A1" w:rsidRPr="00C859E9" w:rsidRDefault="000575A1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Times New Roman" w:hAnsi="Times New Roman" w:cs="Times New Roman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Times New Roman" w:hAnsi="Times New Roman" w:cs="Times New Roman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2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44004163">
    <w:abstractNumId w:val="1"/>
  </w:num>
  <w:num w:numId="2" w16cid:durableId="1414663787">
    <w:abstractNumId w:val="0"/>
  </w:num>
  <w:num w:numId="3" w16cid:durableId="1366473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12C31"/>
    <w:rsid w:val="0001383D"/>
    <w:rsid w:val="000436EA"/>
    <w:rsid w:val="00050E6F"/>
    <w:rsid w:val="000575A1"/>
    <w:rsid w:val="00064A85"/>
    <w:rsid w:val="000C3AF5"/>
    <w:rsid w:val="000C6530"/>
    <w:rsid w:val="000E3B0B"/>
    <w:rsid w:val="00121CA5"/>
    <w:rsid w:val="001374BE"/>
    <w:rsid w:val="001414DD"/>
    <w:rsid w:val="0014781B"/>
    <w:rsid w:val="00157DA8"/>
    <w:rsid w:val="001756F7"/>
    <w:rsid w:val="00183F42"/>
    <w:rsid w:val="001C19F5"/>
    <w:rsid w:val="001D084B"/>
    <w:rsid w:val="001E0162"/>
    <w:rsid w:val="001E1995"/>
    <w:rsid w:val="001E2B97"/>
    <w:rsid w:val="001E3FDE"/>
    <w:rsid w:val="001F620B"/>
    <w:rsid w:val="00246E75"/>
    <w:rsid w:val="00247D85"/>
    <w:rsid w:val="00251987"/>
    <w:rsid w:val="00256DA1"/>
    <w:rsid w:val="0027017A"/>
    <w:rsid w:val="00291D79"/>
    <w:rsid w:val="002C6DFF"/>
    <w:rsid w:val="002F132C"/>
    <w:rsid w:val="0031248B"/>
    <w:rsid w:val="00315479"/>
    <w:rsid w:val="00322694"/>
    <w:rsid w:val="003265A9"/>
    <w:rsid w:val="003315EC"/>
    <w:rsid w:val="003343A9"/>
    <w:rsid w:val="00334A54"/>
    <w:rsid w:val="00334E08"/>
    <w:rsid w:val="00393707"/>
    <w:rsid w:val="003E04D6"/>
    <w:rsid w:val="003E4A70"/>
    <w:rsid w:val="003F457F"/>
    <w:rsid w:val="00410B2D"/>
    <w:rsid w:val="00423A29"/>
    <w:rsid w:val="004411E4"/>
    <w:rsid w:val="0046265B"/>
    <w:rsid w:val="0047535D"/>
    <w:rsid w:val="00480140"/>
    <w:rsid w:val="00493CF0"/>
    <w:rsid w:val="0049571C"/>
    <w:rsid w:val="004A4924"/>
    <w:rsid w:val="004C164A"/>
    <w:rsid w:val="004E01A6"/>
    <w:rsid w:val="004E4207"/>
    <w:rsid w:val="005004F2"/>
    <w:rsid w:val="00502B82"/>
    <w:rsid w:val="00505FC7"/>
    <w:rsid w:val="00506186"/>
    <w:rsid w:val="00523183"/>
    <w:rsid w:val="005240B2"/>
    <w:rsid w:val="005258B3"/>
    <w:rsid w:val="005445D6"/>
    <w:rsid w:val="005825C3"/>
    <w:rsid w:val="0059400D"/>
    <w:rsid w:val="005A3120"/>
    <w:rsid w:val="005B1D30"/>
    <w:rsid w:val="005E46AC"/>
    <w:rsid w:val="005F3454"/>
    <w:rsid w:val="00610655"/>
    <w:rsid w:val="00611830"/>
    <w:rsid w:val="00627CA2"/>
    <w:rsid w:val="00634BC0"/>
    <w:rsid w:val="006622C0"/>
    <w:rsid w:val="0066525A"/>
    <w:rsid w:val="006753B8"/>
    <w:rsid w:val="006925F0"/>
    <w:rsid w:val="00692ABF"/>
    <w:rsid w:val="006A7013"/>
    <w:rsid w:val="006D1001"/>
    <w:rsid w:val="006E04BC"/>
    <w:rsid w:val="006E6738"/>
    <w:rsid w:val="006F48D4"/>
    <w:rsid w:val="00704D95"/>
    <w:rsid w:val="007309E6"/>
    <w:rsid w:val="0074430C"/>
    <w:rsid w:val="00752584"/>
    <w:rsid w:val="007627C6"/>
    <w:rsid w:val="00766166"/>
    <w:rsid w:val="00771641"/>
    <w:rsid w:val="00781B64"/>
    <w:rsid w:val="00790430"/>
    <w:rsid w:val="007B3FD6"/>
    <w:rsid w:val="007C56D6"/>
    <w:rsid w:val="007D1B42"/>
    <w:rsid w:val="007D1BBF"/>
    <w:rsid w:val="007D25D7"/>
    <w:rsid w:val="007D3E8D"/>
    <w:rsid w:val="007D4047"/>
    <w:rsid w:val="007D47AD"/>
    <w:rsid w:val="007D6948"/>
    <w:rsid w:val="00802D70"/>
    <w:rsid w:val="00803928"/>
    <w:rsid w:val="0080726F"/>
    <w:rsid w:val="00827F72"/>
    <w:rsid w:val="00837CF2"/>
    <w:rsid w:val="00840A19"/>
    <w:rsid w:val="00840AB3"/>
    <w:rsid w:val="0085653F"/>
    <w:rsid w:val="00864D22"/>
    <w:rsid w:val="008704DB"/>
    <w:rsid w:val="00874E41"/>
    <w:rsid w:val="008D2B37"/>
    <w:rsid w:val="008E432C"/>
    <w:rsid w:val="00900A4E"/>
    <w:rsid w:val="0090105E"/>
    <w:rsid w:val="00903400"/>
    <w:rsid w:val="00961002"/>
    <w:rsid w:val="00973DDD"/>
    <w:rsid w:val="0098258F"/>
    <w:rsid w:val="009B151F"/>
    <w:rsid w:val="009C03C0"/>
    <w:rsid w:val="009D0847"/>
    <w:rsid w:val="009D1D0D"/>
    <w:rsid w:val="009D4F6D"/>
    <w:rsid w:val="00A12FE6"/>
    <w:rsid w:val="00A20EA2"/>
    <w:rsid w:val="00A267DD"/>
    <w:rsid w:val="00A37910"/>
    <w:rsid w:val="00A50A4C"/>
    <w:rsid w:val="00A5431F"/>
    <w:rsid w:val="00A76301"/>
    <w:rsid w:val="00A804CC"/>
    <w:rsid w:val="00A96E3F"/>
    <w:rsid w:val="00A975DC"/>
    <w:rsid w:val="00AA0F18"/>
    <w:rsid w:val="00AB33E4"/>
    <w:rsid w:val="00AC3243"/>
    <w:rsid w:val="00AC4C88"/>
    <w:rsid w:val="00B273C2"/>
    <w:rsid w:val="00B36751"/>
    <w:rsid w:val="00B504BA"/>
    <w:rsid w:val="00B52F35"/>
    <w:rsid w:val="00B5448D"/>
    <w:rsid w:val="00B830DC"/>
    <w:rsid w:val="00B93DBA"/>
    <w:rsid w:val="00B96DA7"/>
    <w:rsid w:val="00BB2ADB"/>
    <w:rsid w:val="00BF4534"/>
    <w:rsid w:val="00BF73CE"/>
    <w:rsid w:val="00C31E7F"/>
    <w:rsid w:val="00C765B3"/>
    <w:rsid w:val="00C816BC"/>
    <w:rsid w:val="00C824F0"/>
    <w:rsid w:val="00C82D0B"/>
    <w:rsid w:val="00C84AE1"/>
    <w:rsid w:val="00C9339D"/>
    <w:rsid w:val="00CA77C3"/>
    <w:rsid w:val="00CB3344"/>
    <w:rsid w:val="00CD2647"/>
    <w:rsid w:val="00CF45B3"/>
    <w:rsid w:val="00D26E8B"/>
    <w:rsid w:val="00D46F74"/>
    <w:rsid w:val="00D80B90"/>
    <w:rsid w:val="00D8574A"/>
    <w:rsid w:val="00D911EA"/>
    <w:rsid w:val="00DD6291"/>
    <w:rsid w:val="00E177C8"/>
    <w:rsid w:val="00E37702"/>
    <w:rsid w:val="00E41928"/>
    <w:rsid w:val="00E6709D"/>
    <w:rsid w:val="00EA6189"/>
    <w:rsid w:val="00EC36B7"/>
    <w:rsid w:val="00EC61EA"/>
    <w:rsid w:val="00ED20F7"/>
    <w:rsid w:val="00ED42B2"/>
    <w:rsid w:val="00EE22AD"/>
    <w:rsid w:val="00EE72BC"/>
    <w:rsid w:val="00EF0610"/>
    <w:rsid w:val="00EF4976"/>
    <w:rsid w:val="00F059F8"/>
    <w:rsid w:val="00F12AFD"/>
    <w:rsid w:val="00F12B68"/>
    <w:rsid w:val="00F14429"/>
    <w:rsid w:val="00F34E30"/>
    <w:rsid w:val="00F439CD"/>
    <w:rsid w:val="00F52DA7"/>
    <w:rsid w:val="00F671F6"/>
    <w:rsid w:val="00F82B7E"/>
    <w:rsid w:val="00F92D4D"/>
    <w:rsid w:val="00F960AF"/>
    <w:rsid w:val="00FB1DCB"/>
    <w:rsid w:val="00FE0542"/>
    <w:rsid w:val="00F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AE4B17"/>
  <w15:chartTrackingRefBased/>
  <w15:docId w15:val="{3D098154-EFE4-48A4-A868-AE98D57D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sz w:val="24"/>
      <w:lang w:val="bg-BG"/>
    </w:rPr>
  </w:style>
  <w:style w:type="paragraph" w:styleId="Heading1">
    <w:name w:val="heading 1"/>
    <w:basedOn w:val="Normal"/>
    <w:next w:val="Normal"/>
    <w:qFormat/>
    <w:rsid w:val="0025198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szCs w:val="24"/>
      <w:lang w:val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noProof/>
      <w:sz w:val="20"/>
      <w:szCs w:val="24"/>
      <w:lang w:val="pl-PL"/>
    </w:rPr>
  </w:style>
  <w:style w:type="paragraph" w:styleId="BalloonText">
    <w:name w:val="Balloon Text"/>
    <w:basedOn w:val="Normal"/>
    <w:semiHidden/>
    <w:rsid w:val="00ED42B2"/>
    <w:rPr>
      <w:sz w:val="16"/>
      <w:szCs w:val="16"/>
    </w:rPr>
  </w:style>
  <w:style w:type="paragraph" w:styleId="BodyTextIndent">
    <w:name w:val="Body Text Indent"/>
    <w:basedOn w:val="Normal"/>
    <w:rsid w:val="00251987"/>
    <w:pPr>
      <w:spacing w:after="120"/>
      <w:ind w:left="360"/>
    </w:pPr>
    <w:rPr>
      <w:szCs w:val="24"/>
    </w:rPr>
  </w:style>
  <w:style w:type="character" w:styleId="Hyperlink">
    <w:name w:val="Hyperlink"/>
    <w:rsid w:val="00C31E7F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1414DD"/>
    <w:rPr>
      <w:rFonts w:ascii="Times New Roman" w:hAnsi="Times New Roman"/>
      <w:sz w:val="24"/>
    </w:rPr>
  </w:style>
  <w:style w:type="character" w:styleId="CommentReference">
    <w:name w:val="annotation reference"/>
    <w:rsid w:val="00802D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2D70"/>
    <w:rPr>
      <w:sz w:val="20"/>
      <w:lang w:val="x-none"/>
    </w:rPr>
  </w:style>
  <w:style w:type="character" w:customStyle="1" w:styleId="CommentTextChar">
    <w:name w:val="Comment Text Char"/>
    <w:link w:val="CommentText"/>
    <w:rsid w:val="00802D70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02D70"/>
    <w:rPr>
      <w:b/>
      <w:bCs/>
    </w:rPr>
  </w:style>
  <w:style w:type="character" w:customStyle="1" w:styleId="CommentSubjectChar">
    <w:name w:val="Comment Subject Char"/>
    <w:link w:val="CommentSubject"/>
    <w:rsid w:val="00802D70"/>
    <w:rPr>
      <w:rFonts w:ascii="Times New Roman" w:hAnsi="Times New Roman"/>
      <w:b/>
      <w:bCs/>
    </w:rPr>
  </w:style>
  <w:style w:type="paragraph" w:styleId="Revision">
    <w:name w:val="Revision"/>
    <w:hidden/>
    <w:uiPriority w:val="99"/>
    <w:semiHidden/>
    <w:rsid w:val="00803928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C59F6A08F2A439A5DC7EAF395B96B" ma:contentTypeVersion="13" ma:contentTypeDescription="Create a new document." ma:contentTypeScope="" ma:versionID="23d82f52711ff356e14dbea301ed1320">
  <xsd:schema xmlns:xsd="http://www.w3.org/2001/XMLSchema" xmlns:xs="http://www.w3.org/2001/XMLSchema" xmlns:p="http://schemas.microsoft.com/office/2006/metadata/properties" xmlns:ns2="82762339-169b-4ee3-9dbd-4f1dd1919136" xmlns:ns3="f6557ca9-de5e-4c9c-9d7c-3cd4bb43dd8e" targetNamespace="http://schemas.microsoft.com/office/2006/metadata/properties" ma:root="true" ma:fieldsID="b11dee74d3bd9475f1f9be510ee20b10" ns2:_="" ns3:_="">
    <xsd:import namespace="82762339-169b-4ee3-9dbd-4f1dd1919136"/>
    <xsd:import namespace="f6557ca9-de5e-4c9c-9d7c-3cd4bb43d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2339-169b-4ee3-9dbd-4f1dd191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16b729-9bc7-4b57-b2bc-dc95025d8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7ca9-de5e-4c9c-9d7c-3cd4bb43dd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e2a74b-af10-4b49-9743-619f3e1acbcb}" ma:internalName="TaxCatchAll" ma:showField="CatchAllData" ma:web="f6557ca9-de5e-4c9c-9d7c-3cd4bb43d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62339-169b-4ee3-9dbd-4f1dd1919136">
      <Terms xmlns="http://schemas.microsoft.com/office/infopath/2007/PartnerControls"/>
    </lcf76f155ced4ddcb4097134ff3c332f>
    <TaxCatchAll xmlns="f6557ca9-de5e-4c9c-9d7c-3cd4bb43dd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371279-2394-4950-A190-8FB36A957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62339-169b-4ee3-9dbd-4f1dd1919136"/>
    <ds:schemaRef ds:uri="f6557ca9-de5e-4c9c-9d7c-3cd4bb43dd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FB901D-96CF-4EA7-A69E-942358B1E695}">
  <ds:schemaRefs>
    <ds:schemaRef ds:uri="http://schemas.microsoft.com/office/2006/metadata/properties"/>
    <ds:schemaRef ds:uri="http://schemas.microsoft.com/office/infopath/2007/PartnerControls"/>
    <ds:schemaRef ds:uri="82762339-169b-4ee3-9dbd-4f1dd1919136"/>
    <ds:schemaRef ds:uri="f6557ca9-de5e-4c9c-9d7c-3cd4bb43dd8e"/>
  </ds:schemaRefs>
</ds:datastoreItem>
</file>

<file path=customXml/itemProps3.xml><?xml version="1.0" encoding="utf-8"?>
<ds:datastoreItem xmlns:ds="http://schemas.openxmlformats.org/officeDocument/2006/customXml" ds:itemID="{797A4093-BE3F-49FD-A7FE-6291B9C06F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931</Words>
  <Characters>5537</Characters>
  <Application>Microsoft Office Word</Application>
  <DocSecurity>0</DocSecurity>
  <Lines>104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</dc:creator>
  <cp:keywords/>
  <cp:lastModifiedBy>MU</cp:lastModifiedBy>
  <cp:revision>18</cp:revision>
  <cp:lastPrinted>2011-03-29T11:55:00Z</cp:lastPrinted>
  <dcterms:created xsi:type="dcterms:W3CDTF">2024-05-21T13:06:00Z</dcterms:created>
  <dcterms:modified xsi:type="dcterms:W3CDTF">2026-10-30T15:24:00Z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0x010100D96C59F6A08F2A439A5DC7EAF395B96B</vt:lpwstr>
  </property>
  <property fmtid="{D5CDD505-2E9C-101B-9397-08002B2CF9AE}" pid="3" name="Order">
    <vt:r8>13295800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